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52A80CC1"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CA0446" w:rsidRPr="00CA0446">
        <w:rPr>
          <w:rFonts w:ascii="Times New Roman" w:hAnsi="Times New Roman" w:cs="Times New Roman"/>
          <w:b/>
          <w:sz w:val="24"/>
          <w:szCs w:val="24"/>
        </w:rPr>
        <w:t>«Гулькевичирайгаз»</w:t>
      </w:r>
    </w:p>
    <w:p w14:paraId="64B05360" w14:textId="56D50897" w:rsidR="00656407" w:rsidRPr="004A57B7" w:rsidRDefault="008209B3" w:rsidP="00656407">
      <w:pPr>
        <w:shd w:val="clear" w:color="auto" w:fill="FFFFFF"/>
        <w:spacing w:after="0" w:line="240" w:lineRule="auto"/>
        <w:ind w:left="5387"/>
        <w:jc w:val="right"/>
        <w:rPr>
          <w:rFonts w:ascii="Times New Roman" w:hAnsi="Times New Roman" w:cs="Times New Roman"/>
          <w:b/>
          <w:sz w:val="24"/>
          <w:szCs w:val="24"/>
        </w:rPr>
      </w:pPr>
      <w:r>
        <w:rPr>
          <w:rFonts w:ascii="Times New Roman" w:hAnsi="Times New Roman" w:cs="Times New Roman"/>
          <w:b/>
          <w:sz w:val="24"/>
          <w:szCs w:val="24"/>
        </w:rPr>
        <w:t>(Протокол №14</w:t>
      </w:r>
      <w:r w:rsidR="00656407" w:rsidRPr="004A57B7">
        <w:rPr>
          <w:rFonts w:ascii="Times New Roman" w:hAnsi="Times New Roman" w:cs="Times New Roman"/>
          <w:b/>
          <w:sz w:val="24"/>
          <w:szCs w:val="24"/>
        </w:rPr>
        <w:t xml:space="preserve"> от </w:t>
      </w:r>
      <w:r>
        <w:rPr>
          <w:rFonts w:ascii="Times New Roman" w:hAnsi="Times New Roman" w:cs="Times New Roman"/>
          <w:b/>
          <w:sz w:val="24"/>
          <w:szCs w:val="24"/>
        </w:rPr>
        <w:t>22.05.2023</w:t>
      </w:r>
      <w:r w:rsidR="00656407"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3275BD85"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CA0446" w:rsidRPr="00CA0446">
        <w:rPr>
          <w:rFonts w:ascii="Times New Roman" w:hAnsi="Times New Roman"/>
          <w:b/>
          <w:sz w:val="28"/>
        </w:rPr>
        <w:t>«Гулькевичирайгаз»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B35736">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B35736">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B35736">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B35736">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B35736">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B35736">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B35736">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B35736">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B35736">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B35736">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B35736">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B35736">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B35736">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B35736">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B35736">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B35736">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B35736">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B35736">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B35736">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B35736">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B35736">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B35736">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B35736">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B35736">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B35736">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B35736">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B35736">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B35736">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B35736">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B35736">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B35736">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B35736">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B35736">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B35736">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B35736">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B35736">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B35736">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B35736">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B35736">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B35736">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B35736">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B35736">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B35736">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B35736">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B35736">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B35736">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B35736">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B35736">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B35736">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B35736">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B35736">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B35736">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B35736">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B35736">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B35736">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B35736">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B35736">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B35736">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B35736">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B35736">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B35736">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B35736">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B35736">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B35736">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B35736">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B35736">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B35736">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B35736">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B35736">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B35736">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B35736">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B35736">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B35736">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B35736">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B35736">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B35736">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B35736">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B35736">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B35736">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B35736">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B35736">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B35736">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B35736">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B35736">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B35736">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B35736">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51241AF4" w:rsidR="00776B9A" w:rsidRPr="004A57B7" w:rsidRDefault="00B35736">
      <w:pPr>
        <w:pStyle w:val="15"/>
        <w:rPr>
          <w:rFonts w:asciiTheme="minorHAnsi" w:eastAsiaTheme="minorEastAsia" w:hAnsiTheme="minorHAnsi" w:cstheme="minorBidi"/>
          <w:b w:val="0"/>
          <w:sz w:val="22"/>
          <w:szCs w:val="22"/>
        </w:rPr>
      </w:pPr>
      <w:hyperlink w:anchor="_Toc95397905" w:history="1">
        <w:r w:rsidR="00776B9A" w:rsidRPr="00CA0446">
          <w:rPr>
            <w:rStyle w:val="ae"/>
          </w:rPr>
          <w:t xml:space="preserve">ПРИЛОЖЕНИЕ 1: ПЕРЕЧЕНЬ ВЗАИМОЗАВИСИМЫХ С </w:t>
        </w:r>
        <w:r w:rsidR="000A38B1" w:rsidRPr="00CA0446">
          <w:rPr>
            <w:rStyle w:val="ae"/>
          </w:rPr>
          <w:t>АО</w:t>
        </w:r>
        <w:r w:rsidR="00CA0446">
          <w:rPr>
            <w:rStyle w:val="ae"/>
          </w:rPr>
          <w:t xml:space="preserve"> </w:t>
        </w:r>
        <w:r w:rsidR="00CA0446" w:rsidRPr="00CA0446">
          <w:rPr>
            <w:rStyle w:val="ae"/>
          </w:rPr>
          <w:t>«ГУЛЬКЕВИЧИРАЙГАЗ»</w:t>
        </w:r>
        <w:r w:rsidR="000A38B1" w:rsidRPr="00CA0446">
          <w:rPr>
            <w:rStyle w:val="ae"/>
          </w:rPr>
          <w:t xml:space="preserve"> </w:t>
        </w:r>
        <w:r w:rsidR="00776B9A" w:rsidRPr="00CA0446">
          <w:rPr>
            <w:rStyle w:val="ae"/>
          </w:rPr>
          <w:t>ЛИЦ</w:t>
        </w:r>
        <w:r w:rsidR="00776B9A" w:rsidRPr="00CA0446">
          <w:rPr>
            <w:rStyle w:val="ae"/>
            <w:webHidden/>
          </w:rPr>
          <w:tab/>
        </w:r>
        <w:r w:rsidR="00776B9A" w:rsidRPr="00CA0446">
          <w:rPr>
            <w:rStyle w:val="ae"/>
            <w:webHidden/>
          </w:rPr>
          <w:fldChar w:fldCharType="begin"/>
        </w:r>
        <w:r w:rsidR="00776B9A" w:rsidRPr="00CA0446">
          <w:rPr>
            <w:rStyle w:val="ae"/>
            <w:webHidden/>
          </w:rPr>
          <w:instrText xml:space="preserve"> PAGEREF _Toc95397905 \h </w:instrText>
        </w:r>
        <w:r w:rsidR="00776B9A" w:rsidRPr="00CA0446">
          <w:rPr>
            <w:rStyle w:val="ae"/>
            <w:webHidden/>
          </w:rPr>
        </w:r>
        <w:r w:rsidR="00776B9A" w:rsidRPr="00CA0446">
          <w:rPr>
            <w:rStyle w:val="ae"/>
            <w:webHidden/>
          </w:rPr>
          <w:fldChar w:fldCharType="separate"/>
        </w:r>
        <w:r w:rsidR="00394870" w:rsidRPr="00CA0446">
          <w:rPr>
            <w:rStyle w:val="ae"/>
            <w:webHidden/>
          </w:rPr>
          <w:t>166</w:t>
        </w:r>
        <w:r w:rsidR="00776B9A" w:rsidRPr="00CA0446">
          <w:rPr>
            <w:rStyle w:val="ae"/>
            <w:webHidden/>
          </w:rPr>
          <w:fldChar w:fldCharType="end"/>
        </w:r>
      </w:hyperlink>
    </w:p>
    <w:p w14:paraId="5BB751C8" w14:textId="77777777" w:rsidR="00004EE5" w:rsidRPr="004A57B7" w:rsidRDefault="00403132" w:rsidP="00CA0446">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028C02A5"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CA0446" w:rsidRPr="00CA0446">
        <w:rPr>
          <w:bCs/>
          <w:sz w:val="28"/>
        </w:rPr>
        <w:t>«Гулькевичирайгаз»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CA0446" w:rsidRPr="00CA0446">
        <w:rPr>
          <w:bCs/>
          <w:sz w:val="28"/>
        </w:rPr>
        <w:t>«Гулькевичирайгаз»</w:t>
      </w:r>
      <w:r w:rsidR="00EA2A73" w:rsidRPr="00EA2A73" w:rsidDel="00102FEF">
        <w:rPr>
          <w:sz w:val="28"/>
        </w:rPr>
        <w:t xml:space="preserve"> </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B35736"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B35736"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B35736"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B35736"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B35736"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B35736"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B35736"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B35736"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2B29CE25" w14:textId="30C6B2AF" w:rsidR="00E82951" w:rsidRPr="008209B3" w:rsidRDefault="006A6D44" w:rsidP="009C33A2">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8209B3"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1A4E7" w14:textId="77777777" w:rsidR="00B35736" w:rsidRDefault="00B35736" w:rsidP="00AC5943">
      <w:pPr>
        <w:spacing w:after="0" w:line="240" w:lineRule="auto"/>
      </w:pPr>
      <w:r>
        <w:separator/>
      </w:r>
    </w:p>
  </w:endnote>
  <w:endnote w:type="continuationSeparator" w:id="0">
    <w:p w14:paraId="0B242DC2" w14:textId="77777777" w:rsidR="00B35736" w:rsidRDefault="00B35736" w:rsidP="00AC5943">
      <w:pPr>
        <w:spacing w:after="0" w:line="240" w:lineRule="auto"/>
      </w:pPr>
      <w:r>
        <w:continuationSeparator/>
      </w:r>
    </w:p>
  </w:endnote>
  <w:endnote w:type="continuationNotice" w:id="1">
    <w:p w14:paraId="331155C3" w14:textId="77777777" w:rsidR="00B35736" w:rsidRDefault="00B35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8CF7F" w14:textId="77777777" w:rsidR="00B35736" w:rsidRDefault="00B35736" w:rsidP="00AC5943">
      <w:pPr>
        <w:spacing w:after="0" w:line="240" w:lineRule="auto"/>
      </w:pPr>
      <w:r>
        <w:separator/>
      </w:r>
    </w:p>
  </w:footnote>
  <w:footnote w:type="continuationSeparator" w:id="0">
    <w:p w14:paraId="39641EC9" w14:textId="77777777" w:rsidR="00B35736" w:rsidRDefault="00B35736" w:rsidP="00AC5943">
      <w:pPr>
        <w:spacing w:after="0" w:line="240" w:lineRule="auto"/>
      </w:pPr>
      <w:r>
        <w:continuationSeparator/>
      </w:r>
    </w:p>
  </w:footnote>
  <w:footnote w:type="continuationNotice" w:id="1">
    <w:p w14:paraId="37302606" w14:textId="77777777" w:rsidR="00B35736" w:rsidRDefault="00B35736">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74813CB5" w:rsidR="00147AA3" w:rsidRDefault="00147AA3">
        <w:pPr>
          <w:pStyle w:val="af2"/>
          <w:jc w:val="center"/>
        </w:pPr>
        <w:r w:rsidRPr="00B734D8">
          <w:fldChar w:fldCharType="begin"/>
        </w:r>
        <w:r>
          <w:instrText>PAGE   \* MERGEFORMAT</w:instrText>
        </w:r>
        <w:r w:rsidRPr="00B734D8">
          <w:fldChar w:fldCharType="separate"/>
        </w:r>
        <w:r w:rsidR="008209B3">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09B3"/>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736"/>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446"/>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C708B-E760-449F-84A7-738025FA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57435</Words>
  <Characters>327385</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2023-04-25T06:11:00Z</dcterms:created>
  <dcterms:modified xsi:type="dcterms:W3CDTF">2024-04-01T07:14:00Z</dcterms:modified>
</cp:coreProperties>
</file>